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712E5E6" w:rsidR="00B26598" w:rsidRPr="004E1DD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4E1DD1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5427CB3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B2EA6">
        <w:rPr>
          <w:b/>
          <w:u w:val="single"/>
        </w:rPr>
        <w:t>Психология общения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3C125B4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E1DD1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FDFFE1E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Понятие общения. </w:t>
      </w:r>
    </w:p>
    <w:p w14:paraId="2F24B332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Значение общения для осуществления профессиональной деятельности. </w:t>
      </w:r>
    </w:p>
    <w:p w14:paraId="2DFB4707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Структура общения. </w:t>
      </w:r>
    </w:p>
    <w:p w14:paraId="1BE0A46C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Содержание, цели и виды общения.</w:t>
      </w:r>
    </w:p>
    <w:p w14:paraId="141084A6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Стороны общения.</w:t>
      </w:r>
    </w:p>
    <w:p w14:paraId="58BD9DBC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Средства общения </w:t>
      </w:r>
    </w:p>
    <w:p w14:paraId="7D590F6F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Функции общения.</w:t>
      </w:r>
    </w:p>
    <w:p w14:paraId="5CB202DE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Речь как ведущее средство общения.</w:t>
      </w:r>
    </w:p>
    <w:p w14:paraId="3424EE11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Этапы формирования речи. Виды речи.</w:t>
      </w:r>
    </w:p>
    <w:p w14:paraId="07CDDFD7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</w:rPr>
      </w:pPr>
      <w:r w:rsidRPr="000B2EA6">
        <w:rPr>
          <w:rFonts w:ascii="Times New Roman" w:hAnsi="Times New Roman" w:cs="Times New Roman"/>
        </w:rPr>
        <w:t>Виды коммуникативных барьеров.</w:t>
      </w:r>
    </w:p>
    <w:p w14:paraId="0010F089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Преодоление коммуникативных барьеров в общении.</w:t>
      </w:r>
    </w:p>
    <w:p w14:paraId="24E85871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Невербальные средства общения.</w:t>
      </w:r>
    </w:p>
    <w:p w14:paraId="0095A206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Значение невербальных средств для использования в деловом общении.</w:t>
      </w:r>
    </w:p>
    <w:p w14:paraId="07757F6C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Разделы психологии, изучающие невербальные средства общения.</w:t>
      </w:r>
    </w:p>
    <w:p w14:paraId="41A61166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Что изучает раздел психологии общения </w:t>
      </w:r>
      <w:proofErr w:type="spellStart"/>
      <w:r w:rsidRPr="000B2EA6">
        <w:rPr>
          <w:rFonts w:ascii="Times New Roman" w:hAnsi="Times New Roman" w:cs="Times New Roman"/>
        </w:rPr>
        <w:t>кинесика</w:t>
      </w:r>
      <w:proofErr w:type="spellEnd"/>
      <w:r w:rsidRPr="000B2EA6">
        <w:rPr>
          <w:rFonts w:ascii="Times New Roman" w:hAnsi="Times New Roman" w:cs="Times New Roman"/>
        </w:rPr>
        <w:t>.</w:t>
      </w:r>
    </w:p>
    <w:p w14:paraId="1AF6601E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Что изучают разделы психологии общения экстралингвистика и паралингвистика.</w:t>
      </w:r>
    </w:p>
    <w:p w14:paraId="78D229D3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Что изучает раздел психологии общения </w:t>
      </w:r>
      <w:proofErr w:type="spellStart"/>
      <w:r w:rsidRPr="000B2EA6">
        <w:rPr>
          <w:rFonts w:ascii="Times New Roman" w:hAnsi="Times New Roman" w:cs="Times New Roman"/>
        </w:rPr>
        <w:t>такесика</w:t>
      </w:r>
      <w:proofErr w:type="spellEnd"/>
      <w:r w:rsidRPr="000B2EA6">
        <w:rPr>
          <w:rFonts w:ascii="Times New Roman" w:hAnsi="Times New Roman" w:cs="Times New Roman"/>
        </w:rPr>
        <w:t>.</w:t>
      </w:r>
    </w:p>
    <w:p w14:paraId="319B7612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Что изучает раздел психологии общения </w:t>
      </w:r>
      <w:proofErr w:type="spellStart"/>
      <w:r w:rsidRPr="000B2EA6">
        <w:rPr>
          <w:rFonts w:ascii="Times New Roman" w:hAnsi="Times New Roman" w:cs="Times New Roman"/>
        </w:rPr>
        <w:t>проксемика</w:t>
      </w:r>
      <w:proofErr w:type="spellEnd"/>
      <w:r w:rsidRPr="000B2EA6">
        <w:rPr>
          <w:rFonts w:ascii="Times New Roman" w:hAnsi="Times New Roman" w:cs="Times New Roman"/>
        </w:rPr>
        <w:t>.</w:t>
      </w:r>
    </w:p>
    <w:p w14:paraId="340D521A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Мимика и пантомимика как средство общения.</w:t>
      </w:r>
    </w:p>
    <w:p w14:paraId="7E1386CF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Позы и жесты в общении</w:t>
      </w:r>
    </w:p>
    <w:p w14:paraId="4E27AB75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Стили взаимодействия в деловом общении.</w:t>
      </w:r>
    </w:p>
    <w:p w14:paraId="62E995DF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Позиция в общении (закрытая и открытая).</w:t>
      </w:r>
    </w:p>
    <w:p w14:paraId="36277B35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Стратегии «контроллера» и «</w:t>
      </w:r>
      <w:proofErr w:type="spellStart"/>
      <w:r w:rsidRPr="000B2EA6">
        <w:rPr>
          <w:rFonts w:ascii="Times New Roman" w:eastAsia="Calibri" w:hAnsi="Times New Roman" w:cs="Times New Roman"/>
          <w:bCs/>
        </w:rPr>
        <w:t>понимателя</w:t>
      </w:r>
      <w:proofErr w:type="spellEnd"/>
      <w:r w:rsidRPr="000B2EA6">
        <w:rPr>
          <w:rFonts w:ascii="Times New Roman" w:eastAsia="Calibri" w:hAnsi="Times New Roman" w:cs="Times New Roman"/>
          <w:bCs/>
        </w:rPr>
        <w:t>».</w:t>
      </w:r>
    </w:p>
    <w:p w14:paraId="23AE6903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Style w:val="apple-style-span"/>
          <w:rFonts w:ascii="Times New Roman" w:hAnsi="Times New Roman" w:cs="Times New Roman"/>
        </w:rPr>
      </w:pPr>
      <w:r w:rsidRPr="000B2EA6">
        <w:rPr>
          <w:rStyle w:val="apple-style-span"/>
          <w:rFonts w:ascii="Times New Roman" w:hAnsi="Times New Roman" w:cs="Times New Roman"/>
          <w:color w:val="000000"/>
        </w:rPr>
        <w:t>Типы социальных ролей.</w:t>
      </w:r>
    </w:p>
    <w:p w14:paraId="74FF59E0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Style w:val="apple-style-span"/>
          <w:rFonts w:ascii="Times New Roman" w:hAnsi="Times New Roman" w:cs="Times New Roman"/>
          <w:b/>
          <w:bCs/>
        </w:rPr>
      </w:pPr>
      <w:r w:rsidRPr="000B2EA6">
        <w:rPr>
          <w:rStyle w:val="apple-style-span"/>
          <w:rFonts w:ascii="Times New Roman" w:hAnsi="Times New Roman" w:cs="Times New Roman"/>
          <w:color w:val="000000"/>
        </w:rPr>
        <w:t>Ролевое общение.</w:t>
      </w:r>
    </w:p>
    <w:p w14:paraId="0327D2A7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</w:rPr>
      </w:pPr>
      <w:r w:rsidRPr="000B2EA6">
        <w:rPr>
          <w:rStyle w:val="apple-style-span"/>
          <w:rFonts w:ascii="Times New Roman" w:hAnsi="Times New Roman" w:cs="Times New Roman"/>
          <w:color w:val="000000"/>
        </w:rPr>
        <w:t>Определение стиля взаимодействия</w:t>
      </w:r>
      <w:r w:rsidRPr="000B2EA6">
        <w:rPr>
          <w:rFonts w:ascii="Times New Roman" w:eastAsia="Calibri" w:hAnsi="Times New Roman" w:cs="Times New Roman"/>
          <w:bCs/>
        </w:rPr>
        <w:t>.</w:t>
      </w:r>
    </w:p>
    <w:p w14:paraId="29C8EFEA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lastRenderedPageBreak/>
        <w:t>Механизмы взаимопонимания в общении: идентификация, эмпатия, рефлексия.</w:t>
      </w:r>
    </w:p>
    <w:p w14:paraId="1CA8B409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Style w:val="apple-style-span"/>
          <w:rFonts w:ascii="Times New Roman" w:hAnsi="Times New Roman" w:cs="Times New Roman"/>
        </w:rPr>
      </w:pPr>
      <w:r w:rsidRPr="000B2EA6">
        <w:rPr>
          <w:rStyle w:val="apple-style-span"/>
          <w:rFonts w:ascii="Times New Roman" w:hAnsi="Times New Roman" w:cs="Times New Roman"/>
          <w:color w:val="000000"/>
        </w:rPr>
        <w:t>Использование различных механизмов взаимопонимания в общении.</w:t>
      </w:r>
    </w:p>
    <w:p w14:paraId="0F0F8774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Style w:val="apple-style-span"/>
          <w:rFonts w:ascii="Times New Roman" w:hAnsi="Times New Roman" w:cs="Times New Roman"/>
          <w:b/>
          <w:bCs/>
        </w:rPr>
      </w:pPr>
      <w:r w:rsidRPr="000B2EA6">
        <w:rPr>
          <w:rStyle w:val="apple-style-span"/>
          <w:rFonts w:ascii="Times New Roman" w:hAnsi="Times New Roman" w:cs="Times New Roman"/>
          <w:color w:val="000000"/>
        </w:rPr>
        <w:t>Понятие об «аттракции», ее влияние на процесс общения.</w:t>
      </w:r>
    </w:p>
    <w:p w14:paraId="61CC19DF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</w:rPr>
      </w:pPr>
      <w:r w:rsidRPr="000B2EA6">
        <w:rPr>
          <w:rFonts w:ascii="Times New Roman" w:hAnsi="Times New Roman" w:cs="Times New Roman"/>
        </w:rPr>
        <w:t>Основные правила взаимодействия в общении.</w:t>
      </w:r>
    </w:p>
    <w:p w14:paraId="6E096AB5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Этапы взаимодействия в общении.</w:t>
      </w:r>
    </w:p>
    <w:p w14:paraId="7A4F94C4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Ведение дискуссии.</w:t>
      </w:r>
    </w:p>
    <w:p w14:paraId="5A0B1C83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Социальное восприятие.</w:t>
      </w:r>
    </w:p>
    <w:p w14:paraId="7751AA6C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Стереотипы в общении.</w:t>
      </w:r>
    </w:p>
    <w:p w14:paraId="1303F376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Механизмы восприятия знакомых людей.</w:t>
      </w:r>
    </w:p>
    <w:p w14:paraId="199FC405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Психологические закономерности восприятия незнакомых людей.</w:t>
      </w:r>
    </w:p>
    <w:p w14:paraId="212FB89A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Эффекты социального восприятия. Ошибки восприятия.</w:t>
      </w:r>
    </w:p>
    <w:p w14:paraId="3EC9BC0B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 xml:space="preserve">Открытые и закрытые «пространства» личности – модель «Окно </w:t>
      </w:r>
      <w:proofErr w:type="spellStart"/>
      <w:r w:rsidRPr="000B2EA6">
        <w:rPr>
          <w:rFonts w:ascii="Times New Roman" w:eastAsia="Calibri" w:hAnsi="Times New Roman" w:cs="Times New Roman"/>
          <w:bCs/>
        </w:rPr>
        <w:t>Джогарри</w:t>
      </w:r>
      <w:proofErr w:type="spellEnd"/>
      <w:r w:rsidRPr="000B2EA6">
        <w:rPr>
          <w:rFonts w:ascii="Times New Roman" w:eastAsia="Calibri" w:hAnsi="Times New Roman" w:cs="Times New Roman"/>
          <w:bCs/>
        </w:rPr>
        <w:t>»</w:t>
      </w:r>
    </w:p>
    <w:p w14:paraId="5C3FD281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eastAsia="Calibri" w:hAnsi="Times New Roman" w:cs="Times New Roman"/>
          <w:bCs/>
        </w:rPr>
        <w:t>Эффективное общение.</w:t>
      </w:r>
    </w:p>
    <w:p w14:paraId="177B76E8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Приемы повышения эффективности общения.</w:t>
      </w:r>
    </w:p>
    <w:p w14:paraId="768D662A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Правила и приемы делового общения.</w:t>
      </w:r>
    </w:p>
    <w:p w14:paraId="299548D4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Ведение телефонных переговоров.</w:t>
      </w:r>
    </w:p>
    <w:p w14:paraId="5F17B253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Правила ведения беседы с клиентом.</w:t>
      </w:r>
    </w:p>
    <w:p w14:paraId="2B20F4AB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Прохождение собеседования, особенности и приемы.</w:t>
      </w:r>
    </w:p>
    <w:p w14:paraId="2A5707C8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Манипулятивное общение.</w:t>
      </w:r>
    </w:p>
    <w:p w14:paraId="67D25E51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>Способы защиты от манипулятора.</w:t>
      </w:r>
    </w:p>
    <w:p w14:paraId="0C794164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</w:rPr>
        <w:t xml:space="preserve">Индивидуально-психологические качества личности. Их влияние на особенности общения </w:t>
      </w:r>
    </w:p>
    <w:p w14:paraId="22CE4563" w14:textId="5159738B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  <w:bCs/>
        </w:rPr>
        <w:t>Экстра- и интроверсия их влияние на особенности общения.</w:t>
      </w:r>
    </w:p>
    <w:p w14:paraId="5E48B94F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  <w:bCs/>
        </w:rPr>
        <w:t>Темперамент и особенности общения.</w:t>
      </w:r>
    </w:p>
    <w:p w14:paraId="26F9FD71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  <w:bCs/>
        </w:rPr>
        <w:t>Характер и особенности общения.</w:t>
      </w:r>
    </w:p>
    <w:p w14:paraId="5F7CA78C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  <w:lang w:eastAsia="ru-RU"/>
        </w:rPr>
        <w:t>Этика общения и культура общения.</w:t>
      </w:r>
    </w:p>
    <w:p w14:paraId="4C349B59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  <w:lang w:eastAsia="ru-RU"/>
        </w:rPr>
        <w:t>Этические принципы общения.</w:t>
      </w:r>
    </w:p>
    <w:p w14:paraId="193877FB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/>
          <w:bCs/>
        </w:rPr>
      </w:pPr>
      <w:r w:rsidRPr="000B2EA6">
        <w:rPr>
          <w:rFonts w:ascii="Times New Roman" w:hAnsi="Times New Roman" w:cs="Times New Roman"/>
          <w:lang w:eastAsia="ru-RU"/>
        </w:rPr>
        <w:t>Саморегуляция поведения в процессе общения.</w:t>
      </w:r>
    </w:p>
    <w:p w14:paraId="265F9913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  <w:bCs/>
        </w:rPr>
        <w:t xml:space="preserve"> Понятие конфликта.</w:t>
      </w:r>
      <w:r w:rsidRPr="000B2EA6">
        <w:rPr>
          <w:rFonts w:ascii="Times New Roman" w:hAnsi="Times New Roman" w:cs="Times New Roman"/>
        </w:rPr>
        <w:t xml:space="preserve"> Типы конфликта.</w:t>
      </w:r>
    </w:p>
    <w:p w14:paraId="3C802CEB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</w:rPr>
        <w:t>Формула конфликта. Структура конфликта.</w:t>
      </w:r>
    </w:p>
    <w:p w14:paraId="1C4803FF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</w:rPr>
        <w:t>Возникновение и развитие конфликта.</w:t>
      </w:r>
    </w:p>
    <w:p w14:paraId="11CE1233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proofErr w:type="spellStart"/>
      <w:r w:rsidRPr="000B2EA6">
        <w:rPr>
          <w:rFonts w:ascii="Times New Roman" w:hAnsi="Times New Roman" w:cs="Times New Roman"/>
        </w:rPr>
        <w:t>Конфликтогены</w:t>
      </w:r>
      <w:proofErr w:type="spellEnd"/>
      <w:r w:rsidRPr="000B2EA6">
        <w:rPr>
          <w:rFonts w:ascii="Times New Roman" w:hAnsi="Times New Roman" w:cs="Times New Roman"/>
        </w:rPr>
        <w:t xml:space="preserve">. Эскалация </w:t>
      </w:r>
      <w:proofErr w:type="spellStart"/>
      <w:r w:rsidRPr="000B2EA6">
        <w:rPr>
          <w:rFonts w:ascii="Times New Roman" w:hAnsi="Times New Roman" w:cs="Times New Roman"/>
        </w:rPr>
        <w:t>конфликтогенов</w:t>
      </w:r>
      <w:proofErr w:type="spellEnd"/>
      <w:r w:rsidRPr="000B2EA6">
        <w:rPr>
          <w:rFonts w:ascii="Times New Roman" w:hAnsi="Times New Roman" w:cs="Times New Roman"/>
        </w:rPr>
        <w:t>.</w:t>
      </w:r>
    </w:p>
    <w:p w14:paraId="299CE9B9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</w:rPr>
        <w:t xml:space="preserve">Типы </w:t>
      </w:r>
      <w:proofErr w:type="spellStart"/>
      <w:r w:rsidRPr="000B2EA6">
        <w:rPr>
          <w:rFonts w:ascii="Times New Roman" w:hAnsi="Times New Roman" w:cs="Times New Roman"/>
        </w:rPr>
        <w:t>конфликтогенов</w:t>
      </w:r>
      <w:proofErr w:type="spellEnd"/>
      <w:r w:rsidRPr="000B2EA6">
        <w:rPr>
          <w:rFonts w:ascii="Times New Roman" w:hAnsi="Times New Roman" w:cs="Times New Roman"/>
        </w:rPr>
        <w:t xml:space="preserve">. </w:t>
      </w:r>
    </w:p>
    <w:p w14:paraId="03BF24B8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</w:rPr>
        <w:t>Стратегии поведения в конфликтной ситуации.</w:t>
      </w:r>
    </w:p>
    <w:p w14:paraId="56F05765" w14:textId="77777777" w:rsidR="000B2EA6" w:rsidRPr="000B2EA6" w:rsidRDefault="000B2EA6" w:rsidP="000B2EA6">
      <w:pPr>
        <w:pStyle w:val="a4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 w:cs="Times New Roman"/>
          <w:bCs/>
        </w:rPr>
      </w:pPr>
      <w:r w:rsidRPr="000B2EA6">
        <w:rPr>
          <w:rFonts w:ascii="Times New Roman" w:hAnsi="Times New Roman" w:cs="Times New Roman"/>
        </w:rPr>
        <w:t>Правила поведения в конфликте и его разрешение.</w:t>
      </w:r>
    </w:p>
    <w:p w14:paraId="3C55652A" w14:textId="071595D1" w:rsidR="00540D96" w:rsidRPr="00540D96" w:rsidRDefault="00540D96" w:rsidP="000B2EA6">
      <w:pPr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B2EA6"/>
    <w:rsid w:val="000C731B"/>
    <w:rsid w:val="001C115D"/>
    <w:rsid w:val="002B423D"/>
    <w:rsid w:val="00346D43"/>
    <w:rsid w:val="00364B28"/>
    <w:rsid w:val="004E1DD1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24</cp:revision>
  <dcterms:created xsi:type="dcterms:W3CDTF">2022-07-18T07:11:00Z</dcterms:created>
  <dcterms:modified xsi:type="dcterms:W3CDTF">2022-08-01T10:42:00Z</dcterms:modified>
</cp:coreProperties>
</file>